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40"/>
        <w:jc w:val="center"/>
      </w:pPr>
      <w:bookmarkStart w:id="0" w:name="_GoBack"/>
      <w:bookmarkEnd w:id="0"/>
      <w:r>
        <w:rPr>
          <w:rFonts w:ascii="Times New Roman" w:hAnsi="Times New Roman" w:eastAsia="微软雅黑"/>
          <w:b/>
          <w:i w:val="0"/>
          <w:color w:val="1A264A"/>
          <w:sz w:val="38"/>
        </w:rPr>
        <w:t>Senior High English · Practical Writing — Provincial High-quality Lesson Plan</w:t>
      </w:r>
    </w:p>
    <w:p>
      <w:pPr>
        <w:spacing w:before="0" w:after="40"/>
        <w:jc w:val="center"/>
      </w:pPr>
      <w:r>
        <w:rPr>
          <w:rFonts w:ascii="Times New Roman" w:hAnsi="Times New Roman" w:eastAsia="微软雅黑"/>
          <w:b/>
          <w:i w:val="0"/>
          <w:color w:val="C88A00"/>
          <w:sz w:val="26"/>
        </w:rPr>
        <w:t>A Special Chinese Gift  (Letter to Jason)</w:t>
      </w:r>
    </w:p>
    <w:p>
      <w:pPr>
        <w:spacing w:before="0" w:after="160"/>
        <w:jc w:val="center"/>
      </w:pPr>
      <w:r>
        <w:rPr>
          <w:rFonts w:ascii="Times New Roman" w:hAnsi="Times New Roman" w:eastAsia="微软雅黑"/>
          <w:b w:val="0"/>
          <w:i w:val="0"/>
          <w:color w:val="444444"/>
          <w:sz w:val="19"/>
        </w:rPr>
        <w:t>Communication Positioning · Logic Chain · Lexis Bank · Advanced Patterns · Four-stage Models · High-score Tips</w:t>
      </w:r>
    </w:p>
    <w:p>
      <w:pPr>
        <w:pBdr>
          <w:bottom w:val="single" w:color="0000C8" w:sz="6" w:space="1"/>
        </w:pBdr>
      </w:pPr>
    </w:p>
    <w:tbl>
      <w:tblPr>
        <w:tblStyle w:val="36"/>
        <w:tblW w:w="97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7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1"/>
              </w:rPr>
              <w:t>Lesson 课题</w:t>
            </w:r>
          </w:p>
        </w:tc>
        <w:tc>
          <w:tcPr>
            <w:tcW w:w="79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Practical-writing micro-skill guidance — “A Special Chinese Gift” (letter)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1"/>
              </w:rPr>
              <w:t>Type 课型</w:t>
            </w:r>
          </w:p>
        </w:tc>
        <w:tc>
          <w:tcPr>
            <w:tcW w:w="79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Practical-writing Guidance Lesson / 应用文写作讲评 (process writing, letter)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1"/>
              </w:rPr>
              <w:t>Source 题源</w:t>
            </w:r>
          </w:p>
        </w:tc>
        <w:tc>
          <w:tcPr>
            <w:tcW w:w="79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Shandong 95-school Consortium · Grade-12 joint exam · Sept 2026 (15 pts, ~80 words)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1"/>
              </w:rPr>
              <w:t>Grade 年级</w:t>
            </w:r>
          </w:p>
        </w:tc>
        <w:tc>
          <w:tcPr>
            <w:tcW w:w="79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Senior 3 (Grade 12) — exam-prep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1"/>
              </w:rPr>
              <w:t>Time 课时</w:t>
            </w:r>
          </w:p>
        </w:tc>
        <w:tc>
          <w:tcPr>
            <w:tcW w:w="79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1 period / 45 minutes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1"/>
              </w:rPr>
              <w:t>Teacher 教师</w:t>
            </w:r>
          </w:p>
        </w:tc>
        <w:tc>
          <w:tcPr>
            <w:tcW w:w="79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____________      School 学校：____________</w:t>
            </w:r>
          </w:p>
        </w:tc>
      </w:tr>
    </w:tbl>
    <w:p>
      <w:pPr>
        <w:spacing w:before="0" w:after="40"/>
      </w:pP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I. Design Rationale  (设计理念)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Guided by the English Core Competencies (《普通高中英语课程标准》) and implemented through the Activity-based Approach to Learning (英语学习活动观), this lesson designs progressive tasks across “learning–understanding → applying–practising → transferring–creating”. Practical writing is a high-stakes sub-test: it assesses students’ ability to produce a decent, coherent and culturally rich text in a real communicative situation, on the basis of reader, register, genre and purpose.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Situational drive: activate cross-cultural schema with the “exchange student Jason + gift exchange” context.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Scaffolding: visualise the writing process with “5-dimension positioning + logic chain + lexis bank + advanced patterns”.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Four-stage models: compare basic → intermediate → advanced → elementary to show the “culture-outward” intention and sentence upgrading.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High-score tips: pre-pose the timed checklist so that teaching, learning and assessment are integrated.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II. Task &amp; Discourse Analysis  (写作任务与语篇分析)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1. The Task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222222"/>
          <w:sz w:val="21"/>
        </w:rPr>
        <w:t>You are Li Hua. Your school is launching an exchange programme with a partner school abroad, and you will host the exchange student Jason. At the gift-exchange you have prepared a gift with Chinese characteristics. Write him a letter introducing the gift and expressing your wishes. (about 80 words)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2. Communication Positioning — 5 dimensions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Reader: Jason, a foreign peer of similar age — tone semi-formal, warm and decent.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Register: formal-leaning, polite and vivid; ban low-score colloquialisms such as “I think” / “very nice”.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Genre: personal letter (not expository); three-paragraph with echoed opening and closing.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Purpose: convey cultural confidence; land on the dual theme “friendship + culture”.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Pitfalls: the ending MUST carry a wish; avoid preaching; no piling-up or off-topic content.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3. Logic Chain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Three-paragraph: Para.1 greet &amp; welcome + name the gift directly → Para.2-A detail (appearance / origin) → Para.2-B cultural meaning (elaborated, sublimated) → Para.3 wishes (echo the theme, natural close).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1"/>
        </w:rPr>
        <w:t>▪ 💡 welcome → name gift → describe → cultural sublimation → wish (opening &amp; closing echo).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III. Student Analysis  (学情分析)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Students are Senior 3 with basic letter-format awareness, yet they commonly show the following problems: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Vague content: only name the gift, lacking concrete details (landscape / tea aroma / paper-cut pattern) and cultural meaning.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Plain sentences: frequent low-score expressions like “I think” / “It is very nice”.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Weak cultural flavour: only “nice gift”, with no link to friendship, nature, tradition or family.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Hasty ending: forget the wish sentence, or make it stiff and theme-disconnected.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Therefore the lesson focuses on micro-skills: a logic chain for structure, a lexis bank for “what to write”, and six advanced patterns for “how to upgrade”.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IV. Teaching Objectives  (教学目标 · English Core Competencies)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1. Language Ability  (语言能力)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read the task and write an ~80-word letter that introduces a Chinese gift with concrete details and expresses wishes, applying topic chunks plus at least 3 advanced sentence patterns.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2. Cultural Awareness  (文化意识)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confidently convey Chinese culture (folding fan / Longjing tea / paper-cutting / Chinese knot) and reflect cross-cultural friendship and cultural confidence.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3. Thinking Quality  (思维品质)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analyse the communication situation (reader / register / purpose), build a coherent logic chain (welcome → describe → meaning → wishes), and infer the cultural significance — showing logical and critical thinking.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4. Learning Ability  (学习能力)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plan writing with the scaffolds (logic chain, lexis bank, sentence patterns), self-/peer-assess with the checklist, and transfer the strategy to other practical-writing topics.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V. Key &amp; Difficult Points  (教学重难点)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● </w:t>
      </w:r>
      <w:r>
        <w:rPr>
          <w:rFonts w:ascii="Times New Roman" w:hAnsi="Times New Roman" w:eastAsia="微软雅黑"/>
          <w:b w:val="0"/>
          <w:sz w:val="21"/>
        </w:rPr>
        <w:t>Key: organise the three paragraphs with the logic chain; combine “object + meaning” lexis into paragraphs; apply the six advanced patterns.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● </w:t>
      </w:r>
      <w:r>
        <w:rPr>
          <w:rFonts w:ascii="Times New Roman" w:hAnsi="Times New Roman" w:eastAsia="微软雅黑"/>
          <w:b w:val="0"/>
          <w:sz w:val="21"/>
        </w:rPr>
        <w:t>Difficult: within 80 words include both concrete details and cultural sublimation; avoid colloquialisms; end with a natural, theme-echoing wish.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Breakthrough: compare the four-stage models to demonstrate the progression of intention and sentence structures; train with the timed on-the-spot checklist.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VI. Methods &amp; Aids  (教学方法与手段)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Methods: Task-Based Language Teaching (TBLT), Scaffolding, Process Writing, Comparative Appreciation (four-stage models).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Learning: independent task analysis, group lexis-bank building, peer review.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Aids: multimedia PPT (16:9), blackboard logic-chain (built live), student task sheet, high-score checklist.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VII. Teaching Procedure  (教学过程 · 45 min)</w:t>
      </w:r>
    </w:p>
    <w:tbl>
      <w:tblPr>
        <w:tblStyle w:val="36"/>
        <w:tblW w:w="88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381"/>
        <w:gridCol w:w="2041"/>
        <w:gridCol w:w="257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13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Step</w:t>
            </w:r>
          </w:p>
        </w:tc>
        <w:tc>
          <w:tcPr>
            <w:tcW w:w="2381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Teacher</w:t>
            </w:r>
          </w:p>
        </w:tc>
        <w:tc>
          <w:tcPr>
            <w:tcW w:w="2041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Student</w:t>
            </w:r>
          </w:p>
        </w:tc>
        <w:tc>
          <w:tcPr>
            <w:tcW w:w="2570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Intention</w:t>
            </w:r>
          </w:p>
        </w:tc>
        <w:tc>
          <w:tcPr>
            <w:tcW w:w="680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1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Task &amp;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Analysis</w:t>
            </w:r>
          </w:p>
        </w:tc>
        <w:tc>
          <w:tcPr>
            <w:tcW w:w="238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Present the task; guide students to decode communication positioning across 5 dimensions (reader / register / genre / purpose / pitfalls).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Read the task; circle key info: Li Hua / Jason / letter / introduce gift + wish / ~80 words.</w:t>
            </w:r>
          </w:p>
        </w:tc>
        <w:tc>
          <w:tcPr>
            <w:tcW w:w="257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Learning–understanding: read the task accurately, avoid off-topic and low-score expressions. (Thinking Quality)</w:t>
            </w:r>
          </w:p>
        </w:tc>
        <w:tc>
          <w:tcPr>
            <w:tcW w:w="68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3′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2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Logic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Chain</w:t>
            </w:r>
          </w:p>
        </w:tc>
        <w:tc>
          <w:tcPr>
            <w:tcW w:w="238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Teach the three-paragraph logic chain (welcome → describe → meaning → wish); model an “open-with-the-point” opening.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In groups, fill the P1 / P2-A / P2-B / P3 outline with key points.</w:t>
            </w:r>
          </w:p>
        </w:tc>
        <w:tc>
          <w:tcPr>
            <w:tcW w:w="257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Applying–practising: clarify layers and cohesion before paragraphing. (Thinking / Language)</w:t>
            </w:r>
          </w:p>
        </w:tc>
        <w:tc>
          <w:tcPr>
            <w:tcW w:w="68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7′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3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Lexis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Bank</w:t>
            </w:r>
          </w:p>
        </w:tc>
        <w:tc>
          <w:tcPr>
            <w:tcW w:w="238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Present lexis in 4 blocks (opening 3 / description 6 / culture 6 / wish 3); organise groups to build “my lexis card”.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Sort and memorise chunks; each group picks 1 gift and combines 1–2 items from “object + meaning”.</w:t>
            </w:r>
          </w:p>
        </w:tc>
        <w:tc>
          <w:tcPr>
            <w:tcW w:w="257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Applying–practising: solve “what to write”, accumulate transferable chunks. (Language / Culture)</w:t>
            </w:r>
          </w:p>
        </w:tc>
        <w:tc>
          <w:tcPr>
            <w:tcW w:w="68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10′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4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Sentence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Patterns</w:t>
            </w:r>
          </w:p>
        </w:tc>
        <w:tc>
          <w:tcPr>
            <w:tcW w:w="238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Model 6 devices (Not only inversion / What clause / on which / The moment / It is…who / just as); guide imitation.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Imitate one sentence per device; identify and rewrite their own colloquial sentences.</w:t>
            </w:r>
          </w:p>
        </w:tc>
        <w:tc>
          <w:tcPr>
            <w:tcW w:w="257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Applying–practising: modularise language upgrading, avoid “I think” low-score lines. (Language)</w:t>
            </w:r>
          </w:p>
        </w:tc>
        <w:tc>
          <w:tcPr>
            <w:tcW w:w="68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10′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5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4-Stage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Model Essays</w:t>
            </w:r>
          </w:p>
        </w:tc>
        <w:tc>
          <w:tcPr>
            <w:tcW w:w="238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Show basic·fan / intermediate·tea / advanced·paper-cutting / elementary·knot; compare words · opening · meaning device · closing.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Appreciate comparatively; summarise the two “culture-outward” devices and the sentence progression.</w:t>
            </w:r>
          </w:p>
        </w:tc>
        <w:tc>
          <w:tcPr>
            <w:tcW w:w="257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Transferring–creating: experience intention and sentence upgrading through models. (Cultural Awareness)</w:t>
            </w:r>
          </w:p>
        </w:tc>
        <w:tc>
          <w:tcPr>
            <w:tcW w:w="68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10′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6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Timed Writing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&amp; Check</w:t>
            </w:r>
          </w:p>
        </w:tc>
        <w:tc>
          <w:tcPr>
            <w:tcW w:w="238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Run the high-score checklist (analyse 2′ + choose 3′ + describe 5′ + meaning 5′ + wish 2′ + proofread 2′); guide self/peer check.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Finish the ~80-word letter in 25 min; self-check with the checklist; peer-review 1 line.</w:t>
            </w:r>
          </w:p>
        </w:tc>
        <w:tc>
          <w:tcPr>
            <w:tcW w:w="257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Assessment loop: integrate teaching–learning–assessment; consolidate Learning Ability.</w:t>
            </w:r>
          </w:p>
        </w:tc>
        <w:tc>
          <w:tcPr>
            <w:tcW w:w="680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5′</w:t>
            </w:r>
          </w:p>
        </w:tc>
      </w:tr>
    </w:tbl>
    <w:p>
      <w:pPr>
        <w:spacing w:before="0" w:after="40"/>
      </w:pP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VIII. Blackboard Design  (板书设计)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The board is built live in class; its core is the “letter logic chain + six patterns” map:</w:t>
      </w:r>
    </w:p>
    <w:p>
      <w:pPr>
        <w:spacing w:line="276" w:lineRule="auto"/>
        <w:ind w:left="170"/>
      </w:pPr>
      <w:r>
        <w:rPr>
          <w:rFonts w:ascii="Consolas" w:hAnsi="Consolas" w:eastAsia="微软雅黑"/>
          <w:color w:val="1A264A"/>
          <w:sz w:val="19"/>
        </w:rPr>
        <w:t xml:space="preserve">     </w:t>
      </w:r>
      <w:r>
        <w:rPr>
          <w:rFonts w:ascii="Times New Roman" w:hAnsi="Times New Roman" w:eastAsia="微软雅黑"/>
          <w:b w:val="0"/>
          <w:sz w:val="21"/>
        </w:rPr>
        <w:t xml:space="preserve">         ★ THEME: culture outward · friendship + culture  (A Special Chinese Gift)</w:t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t xml:space="preserve">   Para.1 Welcome + name gift   Para.2-A Describe   Para.2-B Cultural meaning   Para.3 Wish</w:t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t xml:space="preserve">   (open with the point)        (on which...)      (What makes... / not merely)  (May... / I hope...)</w:t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t xml:space="preserve">   Six devices: ① Not only inversion ② What subject clause ③ on which non-restrictive</w:t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t xml:space="preserve">                ④ The moment / Whenever ⑤ It is...who cleft ⑥ just as + not merely...but</w:t>
      </w:r>
      <w:r>
        <w:rPr>
          <w:rFonts w:ascii="Times New Roman" w:hAnsi="Times New Roman" w:eastAsia="微软雅黑"/>
          <w:b w:val="0"/>
          <w:sz w:val="21"/>
        </w:rPr>
        <w:br w:type="textWrapping"/>
      </w:r>
      <w:r>
        <w:rPr>
          <w:rFonts w:ascii="Times New Roman" w:hAnsi="Times New Roman" w:eastAsia="微软雅黑"/>
          <w:b w:val="0"/>
          <w:sz w:val="21"/>
        </w:rPr>
        <w:t xml:space="preserve">   Pitfalls: no I think / very nice; ending MUST carry a wish; no piling-up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IX. Homework — Differentiated  (分层作业)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① </w:t>
      </w:r>
      <w:r>
        <w:rPr>
          <w:rFonts w:ascii="Times New Roman" w:hAnsi="Times New Roman" w:eastAsia="微软雅黑"/>
          <w:b w:val="0"/>
          <w:sz w:val="21"/>
        </w:rPr>
        <w:t>Basic: copy each of the four-stage models once, mark 3 advanced patterns; memorise the 18 lexis items.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② </w:t>
      </w:r>
      <w:r>
        <w:rPr>
          <w:rFonts w:ascii="Times New Roman" w:hAnsi="Times New Roman" w:eastAsia="微软雅黑"/>
          <w:b w:val="0"/>
          <w:sz w:val="21"/>
        </w:rPr>
        <w:t>Advanced: independently write an ~80-word letter with a different gift (e.g. Chinese knot / paper-cutting), ≥3 advanced patterns.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③ </w:t>
      </w:r>
      <w:r>
        <w:rPr>
          <w:rFonts w:ascii="Times New Roman" w:hAnsi="Times New Roman" w:eastAsia="微软雅黑"/>
          <w:b w:val="0"/>
          <w:sz w:val="21"/>
        </w:rPr>
        <w:t>Challenge: write a reply from Jason’s view (~80 words) showing cross-cultural response; peer-review a classmate’s letter with the checklist.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X. Reflection  (教学反思 · filled after class)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Goal attainment: are the four competencies landed? Can students write an ~80-word letter with detail + culture + wish?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Scaffold validity: did the logic chain and lexis bank reduce vague content? Was pattern imitation sufficient?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Assessment loop: did the timed checklist truly drive writing? Did peer review focus on “cultural flavour + patterns”?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Improvement: add a “weak draft → upgraded” comparison; provide sentence-frame scaffolds for weaker students; diversify wish endings.</w:t>
      </w:r>
    </w:p>
    <w:sectPr>
      <w:headerReference r:id="rId3" w:type="default"/>
      <w:pgSz w:w="12240" w:h="15840"/>
      <w:pgMar w:top="1134" w:right="1247" w:bottom="1134" w:left="124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ＭＳ 明朝">
    <w:altName w:val="语文格子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语文格子">
    <w:panose1 w:val="02000500000000000000"/>
    <w:charset w:val="00"/>
    <w:family w:val="auto"/>
    <w:pitch w:val="default"/>
    <w:sig w:usb0="00000023" w:usb1="00002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8316865"/>
    <w:rsid w:val="35E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00" w:lineRule="auto"/>
    </w:pPr>
    <w:rPr>
      <w:rFonts w:ascii="Times New Roman" w:hAnsi="Times New Roman" w:eastAsia="微软雅黑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1A264A"/>
      <w:sz w:val="30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1A264A"/>
      <w:sz w:val="26"/>
      <w:szCs w:val="26"/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1F6E5B"/>
      <w:sz w:val="23"/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uiPriority w:val="1"/>
  </w:style>
  <w:style w:type="table" w:default="1" w:styleId="3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Light Shading"/>
    <w:basedOn w:val="35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32"/>
    <w:link w:val="25"/>
    <w:qFormat/>
    <w:uiPriority w:val="99"/>
  </w:style>
  <w:style w:type="character" w:customStyle="1" w:styleId="136">
    <w:name w:val="Footer Char"/>
    <w:basedOn w:val="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32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32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32"/>
    <w:link w:val="19"/>
    <w:qFormat/>
    <w:uiPriority w:val="99"/>
  </w:style>
  <w:style w:type="character" w:customStyle="1" w:styleId="145">
    <w:name w:val="Body Text 2 Char"/>
    <w:basedOn w:val="32"/>
    <w:link w:val="28"/>
    <w:qFormat/>
    <w:uiPriority w:val="99"/>
  </w:style>
  <w:style w:type="character" w:customStyle="1" w:styleId="146">
    <w:name w:val="Body Text 3 Char"/>
    <w:basedOn w:val="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32"/>
    <w:link w:val="13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32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32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32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32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937</Words>
  <Characters>4836</Characters>
  <Lines>0</Lines>
  <Paragraphs>0</Paragraphs>
  <TotalTime>1</TotalTime>
  <ScaleCrop>false</ScaleCrop>
  <LinksUpToDate>false</LinksUpToDate>
  <CharactersWithSpaces>5622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2026-09-16T07:25:10Z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eyJoZGlkIjoiYTc2ZGZiNzZiNDVlOGViOWVmM2JhOTY0NGJkNjUyYzgiLCJ1c2VySWQiOiIzMDU2MDY5ODgifQ==</vt:lpwstr>
  </property>
  <property fmtid="{D5CDD505-2E9C-101B-9397-08002B2CF9AE}" pid="3" name="KSOProductBuildVer">
    <vt:lpwstr>2052-11.8.2.7978</vt:lpwstr>
  </property>
  <property fmtid="{D5CDD505-2E9C-101B-9397-08002B2CF9AE}" pid="4" name="ICV">
    <vt:lpwstr>52AD36D1B6014EE2B231C69F55ED285F_12</vt:lpwstr>
  </property>
</Properties>
</file>